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B4" w:rsidRPr="001A7940" w:rsidRDefault="009241B4" w:rsidP="009241B4">
      <w:pPr>
        <w:pStyle w:val="Prrafodelista"/>
        <w:ind w:left="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241B4" w:rsidRPr="001A7940" w:rsidRDefault="009241B4" w:rsidP="009241B4">
      <w:pPr>
        <w:pStyle w:val="Prrafodelista"/>
        <w:ind w:left="1470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  <w:r w:rsidRPr="000261F5">
        <w:rPr>
          <w:noProof/>
          <w:color w:val="4F81BD" w:themeColor="accent1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6E64" wp14:editId="230CC294">
                <wp:simplePos x="0" y="0"/>
                <wp:positionH relativeFrom="column">
                  <wp:posOffset>-60960</wp:posOffset>
                </wp:positionH>
                <wp:positionV relativeFrom="paragraph">
                  <wp:posOffset>37465</wp:posOffset>
                </wp:positionV>
                <wp:extent cx="5857875" cy="447675"/>
                <wp:effectExtent l="0" t="0" r="28575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241B4" w:rsidRPr="00EE6DA1" w:rsidRDefault="009241B4" w:rsidP="009241B4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261F5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20"/>
                                <w:szCs w:val="20"/>
                                <w:lang w:eastAsia="es-ES"/>
                              </w:rPr>
                              <w:t xml:space="preserve">Sol·licitud d’activació </w:t>
                            </w:r>
                            <w:r w:rsidR="0052317A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20"/>
                                <w:szCs w:val="20"/>
                                <w:lang w:eastAsia="es-ES"/>
                              </w:rPr>
                              <w:t>del</w:t>
                            </w:r>
                            <w:r w:rsidRPr="000261F5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20"/>
                                <w:szCs w:val="20"/>
                                <w:lang w:eastAsia="es-ES"/>
                              </w:rPr>
                              <w:t xml:space="preserve"> protocol per a la prevenció, detecció i actuació de l’assetjament sexual, per raó de sexe, orientació sexual i/o identitat de gènere, en</w:t>
                            </w:r>
                            <w:r w:rsidRPr="00026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l’àmbit de l’alumnat de l’Institut del T</w:t>
                            </w:r>
                            <w:r w:rsidRPr="00026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eatre.</w:t>
                            </w:r>
                          </w:p>
                          <w:p w:rsidR="009241B4" w:rsidRPr="00C73B3D" w:rsidRDefault="009241B4" w:rsidP="009241B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20"/>
                                <w:szCs w:val="20"/>
                                <w:lang w:eastAsia="es-ES"/>
                              </w:rPr>
                              <w:t xml:space="preserve">  </w:t>
                            </w:r>
                            <w:r w:rsidRPr="00C73B3D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3B3D">
                              <w:rPr>
                                <w:rFonts w:ascii="Arial" w:eastAsia="Times New Roman" w:hAnsi="Arial" w:cs="Arial"/>
                                <w:noProof/>
                                <w:color w:val="0D0D0D" w:themeColor="text1" w:themeTint="F2"/>
                                <w:sz w:val="20"/>
                                <w:szCs w:val="20"/>
                                <w:lang w:eastAsia="ca-ES"/>
                              </w:rPr>
                              <w:t xml:space="preserve"> </w:t>
                            </w:r>
                          </w:p>
                          <w:p w:rsidR="009241B4" w:rsidRPr="00635A79" w:rsidRDefault="009241B4" w:rsidP="00924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pt;margin-top:2.95pt;width:46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" fillcolor="window" strokecolor="windowText" strokeweight=".25pt">
                <v:textbox>
                  <w:txbxContent>
                    <w:p w:rsidR="009241B4" w:rsidRPr="00EE6DA1" w:rsidRDefault="009241B4" w:rsidP="009241B4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0261F5">
                        <w:rPr>
                          <w:rFonts w:ascii="Arial" w:eastAsia="Times New Roman" w:hAnsi="Arial" w:cs="Arial"/>
                          <w:color w:val="0D0D0D" w:themeColor="text1" w:themeTint="F2"/>
                          <w:sz w:val="20"/>
                          <w:szCs w:val="20"/>
                          <w:lang w:eastAsia="es-ES"/>
                        </w:rPr>
                        <w:t xml:space="preserve">Sol·licitud d’activació </w:t>
                      </w:r>
                      <w:r w:rsidR="0052317A">
                        <w:rPr>
                          <w:rFonts w:ascii="Arial" w:eastAsia="Times New Roman" w:hAnsi="Arial" w:cs="Arial"/>
                          <w:color w:val="0D0D0D" w:themeColor="text1" w:themeTint="F2"/>
                          <w:sz w:val="20"/>
                          <w:szCs w:val="20"/>
                          <w:lang w:eastAsia="es-ES"/>
                        </w:rPr>
                        <w:t>del</w:t>
                      </w:r>
                      <w:r w:rsidRPr="000261F5">
                        <w:rPr>
                          <w:rFonts w:ascii="Arial" w:eastAsia="Times New Roman" w:hAnsi="Arial" w:cs="Arial"/>
                          <w:color w:val="0D0D0D" w:themeColor="text1" w:themeTint="F2"/>
                          <w:sz w:val="20"/>
                          <w:szCs w:val="20"/>
                          <w:lang w:eastAsia="es-ES"/>
                        </w:rPr>
                        <w:t xml:space="preserve"> protocol per a la prevenció, detecció i actuació de l’assetjament sexual, per raó de sexe, orientació sexual i/o identitat de gènere, en</w:t>
                      </w:r>
                      <w:r w:rsidRPr="000261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l’àmbit de l’alumnat de l’Institut del T</w:t>
                      </w:r>
                      <w:r w:rsidRPr="000261F5">
                        <w:rPr>
                          <w:rFonts w:ascii="Arial" w:hAnsi="Arial" w:cs="Arial"/>
                          <w:sz w:val="20"/>
                          <w:szCs w:val="20"/>
                        </w:rPr>
                        <w:t>eatre.</w:t>
                      </w:r>
                    </w:p>
                    <w:p w:rsidR="009241B4" w:rsidRPr="00C73B3D" w:rsidRDefault="009241B4" w:rsidP="009241B4">
                      <w:pPr>
                        <w:jc w:val="both"/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ca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D0D0D" w:themeColor="text1" w:themeTint="F2"/>
                          <w:sz w:val="20"/>
                          <w:szCs w:val="20"/>
                          <w:lang w:eastAsia="es-ES"/>
                        </w:rPr>
                        <w:t xml:space="preserve">  </w:t>
                      </w:r>
                      <w:r w:rsidRPr="00C73B3D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C73B3D">
                        <w:rPr>
                          <w:rFonts w:ascii="Arial" w:eastAsia="Times New Roman" w:hAnsi="Arial" w:cs="Arial"/>
                          <w:noProof/>
                          <w:color w:val="0D0D0D" w:themeColor="text1" w:themeTint="F2"/>
                          <w:sz w:val="20"/>
                          <w:szCs w:val="20"/>
                          <w:lang w:eastAsia="ca-ES"/>
                        </w:rPr>
                        <w:t xml:space="preserve"> </w:t>
                      </w:r>
                    </w:p>
                    <w:p w:rsidR="009241B4" w:rsidRPr="00635A79" w:rsidRDefault="009241B4" w:rsidP="009241B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41B4" w:rsidRDefault="009241B4" w:rsidP="009241B4">
      <w:pPr>
        <w:jc w:val="both"/>
        <w:rPr>
          <w:rFonts w:ascii="Arial" w:eastAsia="Times New Roman" w:hAnsi="Arial" w:cs="Arial"/>
          <w:noProof/>
          <w:sz w:val="20"/>
          <w:szCs w:val="20"/>
          <w:lang w:eastAsia="ca-ES"/>
        </w:rPr>
      </w:pPr>
    </w:p>
    <w:p w:rsidR="009241B4" w:rsidRDefault="009241B4" w:rsidP="009241B4">
      <w:pPr>
        <w:jc w:val="both"/>
        <w:rPr>
          <w:rFonts w:ascii="Arial" w:eastAsia="Times New Roman" w:hAnsi="Arial" w:cs="Arial"/>
          <w:noProof/>
          <w:sz w:val="20"/>
          <w:szCs w:val="20"/>
          <w:lang w:eastAsia="ca-ES"/>
        </w:rPr>
      </w:pPr>
    </w:p>
    <w:p w:rsidR="009241B4" w:rsidRDefault="009241B4" w:rsidP="009241B4">
      <w:pPr>
        <w:jc w:val="both"/>
        <w:rPr>
          <w:rFonts w:ascii="Arial" w:eastAsia="Times New Roman" w:hAnsi="Arial" w:cs="Arial"/>
          <w:noProof/>
          <w:sz w:val="20"/>
          <w:szCs w:val="20"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CD4AD" wp14:editId="1DA7BBC7">
                <wp:simplePos x="0" y="0"/>
                <wp:positionH relativeFrom="column">
                  <wp:posOffset>3599815</wp:posOffset>
                </wp:positionH>
                <wp:positionV relativeFrom="paragraph">
                  <wp:posOffset>139065</wp:posOffset>
                </wp:positionV>
                <wp:extent cx="2066925" cy="981075"/>
                <wp:effectExtent l="0" t="0" r="28575" b="28575"/>
                <wp:wrapSquare wrapText="bothSides"/>
                <wp:docPr id="1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9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 cmpd="sng" algn="ctr">
                          <a:solidFill>
                            <a:srgbClr val="800000"/>
                          </a:solidFill>
                          <a:prstDash val="sysDot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  </a:ext>
                        </a:extLst>
                      </wps:spPr>
                      <wps:txbx>
                        <w:txbxContent>
                          <w:p w:rsidR="009241B4" w:rsidRPr="005C2BB6" w:rsidRDefault="009241B4" w:rsidP="009241B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C2BB6">
                              <w:rPr>
                                <w:i/>
                                <w:sz w:val="18"/>
                                <w:szCs w:val="18"/>
                              </w:rPr>
                              <w:t>Espai reservat per al Registre General de l’Institut del Teatre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283.45pt;margin-top:10.95pt;width:162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" fillcolor="window" strokecolor="maroon" strokeweight="1pt">
                <v:stroke dashstyle="1 1" endcap="round"/>
                <v:path arrowok="t"/>
                <v:textbox>
                  <w:txbxContent>
                    <w:p w:rsidR="009241B4" w:rsidRPr="005C2BB6" w:rsidRDefault="009241B4" w:rsidP="009241B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C2BB6">
                        <w:rPr>
                          <w:i/>
                          <w:sz w:val="18"/>
                          <w:szCs w:val="18"/>
                        </w:rPr>
                        <w:t>Espai reservat per al Registre General de l’Institut del Teatre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a-ES"/>
        </w:rPr>
        <w:t xml:space="preserve"> </w:t>
      </w:r>
    </w:p>
    <w:p w:rsidR="009241B4" w:rsidRPr="00215499" w:rsidRDefault="00305A47" w:rsidP="009241B4">
      <w:pPr>
        <w:rPr>
          <w:rFonts w:ascii="Arial" w:eastAsia="Times New Roman" w:hAnsi="Arial" w:cs="Arial"/>
          <w:noProof/>
          <w:sz w:val="20"/>
          <w:szCs w:val="20"/>
          <w:lang w:eastAsia="ca-E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a-ES"/>
        </w:rPr>
        <w:drawing>
          <wp:inline distT="0" distB="0" distL="0" distR="0" wp14:anchorId="12939494" wp14:editId="42B7A05F">
            <wp:extent cx="2279109" cy="346841"/>
            <wp:effectExtent l="0" t="0" r="6985" b="0"/>
            <wp:docPr id="2" name="Imagen 2" descr="C:\Users\dominguezrj\Downloads\log-hor-institut-teatre-o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guezrj\Downloads\log-hor-institut-teatre-o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88" cy="3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B4" w:rsidRDefault="009241B4" w:rsidP="009241B4">
      <w:pPr>
        <w:rPr>
          <w:rFonts w:ascii="Avenir Heavy" w:hAnsi="Avenir Heavy"/>
          <w:color w:val="0D0D0D" w:themeColor="text1" w:themeTint="F2"/>
          <w:sz w:val="28"/>
          <w:szCs w:val="28"/>
        </w:rPr>
      </w:pPr>
      <w:r>
        <w:rPr>
          <w:rFonts w:ascii="Avenir Heavy" w:hAnsi="Avenir Heavy"/>
          <w:color w:val="808080"/>
          <w:sz w:val="36"/>
          <w:szCs w:val="36"/>
        </w:rPr>
        <w:br/>
      </w:r>
      <w:r w:rsidRPr="00DC2EF3">
        <w:rPr>
          <w:rFonts w:ascii="Avenir Heavy" w:hAnsi="Avenir Heavy"/>
          <w:color w:val="0D0D0D" w:themeColor="text1" w:themeTint="F2"/>
          <w:sz w:val="28"/>
          <w:szCs w:val="28"/>
        </w:rPr>
        <w:t>INSTÀNCIA</w:t>
      </w:r>
    </w:p>
    <w:p w:rsidR="009241B4" w:rsidRPr="00960291" w:rsidRDefault="009241B4" w:rsidP="009241B4">
      <w:pPr>
        <w:rPr>
          <w:rFonts w:ascii="Avenir Heavy" w:hAnsi="Avenir Heavy"/>
          <w:color w:val="808080"/>
          <w:sz w:val="28"/>
          <w:szCs w:val="28"/>
        </w:rPr>
      </w:pPr>
    </w:p>
    <w:tbl>
      <w:tblPr>
        <w:tblW w:w="918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211"/>
        <w:gridCol w:w="1985"/>
        <w:gridCol w:w="152"/>
        <w:gridCol w:w="1800"/>
        <w:gridCol w:w="32"/>
      </w:tblGrid>
      <w:tr w:rsidR="009241B4" w:rsidRPr="00B9459A" w:rsidTr="00E562C2">
        <w:trPr>
          <w:gridAfter w:val="1"/>
          <w:wAfter w:w="32" w:type="dxa"/>
          <w:trHeight w:hRule="exact" w:val="227"/>
        </w:trPr>
        <w:tc>
          <w:tcPr>
            <w:tcW w:w="914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241B4" w:rsidRPr="00B9459A" w:rsidRDefault="009241B4" w:rsidP="00E562C2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20"/>
                <w:szCs w:val="20"/>
              </w:rPr>
              <w:t>D</w:t>
            </w:r>
            <w:r w:rsidRPr="00B9459A">
              <w:rPr>
                <w:rFonts w:ascii="Avenir Heavy" w:hAnsi="Avenir Heavy"/>
                <w:b/>
                <w:bCs/>
                <w:sz w:val="20"/>
                <w:szCs w:val="20"/>
              </w:rPr>
              <w:t>ades personals</w:t>
            </w:r>
          </w:p>
        </w:tc>
      </w:tr>
      <w:tr w:rsidR="009241B4" w:rsidRPr="00B9459A" w:rsidTr="00E562C2">
        <w:trPr>
          <w:gridAfter w:val="1"/>
          <w:wAfter w:w="32" w:type="dxa"/>
          <w:trHeight w:val="567"/>
        </w:trPr>
        <w:tc>
          <w:tcPr>
            <w:tcW w:w="7196" w:type="dxa"/>
            <w:gridSpan w:val="2"/>
            <w:shd w:val="clear" w:color="auto" w:fill="auto"/>
          </w:tcPr>
          <w:p w:rsidR="009241B4" w:rsidRPr="00B9459A" w:rsidRDefault="009241B4" w:rsidP="00305A47">
            <w:pPr>
              <w:rPr>
                <w:rFonts w:ascii="Avenir Heavy" w:hAnsi="Avenir Heavy"/>
                <w:b/>
                <w:bCs/>
                <w:sz w:val="16"/>
                <w:szCs w:val="16"/>
              </w:rPr>
            </w:pPr>
            <w:r w:rsidRPr="00F439C7">
              <w:rPr>
                <w:rFonts w:ascii="Avenir Heavy" w:hAnsi="Avenir Heavy"/>
                <w:b/>
                <w:bCs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bCs/>
                <w:sz w:val="16"/>
                <w:szCs w:val="16"/>
              </w:rPr>
              <w:t>N</w:t>
            </w:r>
            <w:r w:rsidRPr="00B9459A">
              <w:rPr>
                <w:rFonts w:ascii="Avenir Heavy" w:hAnsi="Avenir Heavy"/>
                <w:b/>
                <w:bCs/>
                <w:sz w:val="16"/>
                <w:szCs w:val="16"/>
              </w:rPr>
              <w:t>om i cognoms</w:t>
            </w:r>
          </w:p>
        </w:tc>
        <w:tc>
          <w:tcPr>
            <w:tcW w:w="19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241B4" w:rsidRPr="00915835" w:rsidRDefault="009241B4" w:rsidP="00E562C2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F439C7">
              <w:rPr>
                <w:rFonts w:ascii="Avenir Heavy" w:hAnsi="Avenir Heavy"/>
                <w:b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sz w:val="16"/>
                <w:szCs w:val="16"/>
              </w:rPr>
              <w:t>DNI</w:t>
            </w:r>
          </w:p>
        </w:tc>
      </w:tr>
      <w:tr w:rsidR="009241B4" w:rsidRPr="00B9459A" w:rsidTr="00E562C2">
        <w:trPr>
          <w:gridAfter w:val="1"/>
          <w:wAfter w:w="32" w:type="dxa"/>
          <w:trHeight w:val="567"/>
        </w:trPr>
        <w:tc>
          <w:tcPr>
            <w:tcW w:w="5211" w:type="dxa"/>
            <w:shd w:val="clear" w:color="auto" w:fill="auto"/>
          </w:tcPr>
          <w:p w:rsidR="009241B4" w:rsidRPr="00B9459A" w:rsidRDefault="009241B4" w:rsidP="00E562C2">
            <w:pPr>
              <w:rPr>
                <w:rFonts w:ascii="Avenir Heavy" w:hAnsi="Avenir Heavy"/>
                <w:sz w:val="16"/>
                <w:szCs w:val="16"/>
              </w:rPr>
            </w:pPr>
            <w:r w:rsidRPr="00705D80">
              <w:rPr>
                <w:rFonts w:ascii="Avenir Heavy" w:hAnsi="Avenir Heavy"/>
                <w:b/>
                <w:bCs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bCs/>
                <w:sz w:val="16"/>
                <w:szCs w:val="16"/>
              </w:rPr>
              <w:t>A</w:t>
            </w:r>
            <w:r w:rsidRPr="00B9459A">
              <w:rPr>
                <w:rFonts w:ascii="Avenir Heavy" w:hAnsi="Avenir Heavy"/>
                <w:b/>
                <w:bCs/>
                <w:sz w:val="16"/>
                <w:szCs w:val="16"/>
              </w:rPr>
              <w:t>dreça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9241B4" w:rsidRPr="00915835" w:rsidRDefault="009241B4" w:rsidP="00E562C2">
            <w:pPr>
              <w:tabs>
                <w:tab w:val="left" w:pos="1168"/>
              </w:tabs>
              <w:ind w:right="602"/>
              <w:rPr>
                <w:rFonts w:ascii="Avenir Heavy" w:hAnsi="Avenir Heavy"/>
                <w:b/>
                <w:sz w:val="16"/>
                <w:szCs w:val="16"/>
              </w:rPr>
            </w:pPr>
            <w:r w:rsidRPr="00705D80">
              <w:rPr>
                <w:rFonts w:ascii="Avenir Heavy" w:hAnsi="Avenir Heavy"/>
                <w:b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sz w:val="16"/>
                <w:szCs w:val="16"/>
              </w:rPr>
              <w:t>C</w:t>
            </w:r>
            <w:r w:rsidRPr="00915835">
              <w:rPr>
                <w:rFonts w:ascii="Avenir Heavy" w:hAnsi="Avenir Heavy"/>
                <w:b/>
                <w:sz w:val="16"/>
                <w:szCs w:val="16"/>
              </w:rPr>
              <w:t>odi postal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9241B4" w:rsidRPr="00B9459A" w:rsidRDefault="009241B4" w:rsidP="00E562C2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705D80">
              <w:rPr>
                <w:rFonts w:ascii="Avenir Heavy" w:hAnsi="Avenir Heavy"/>
                <w:b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sz w:val="16"/>
                <w:szCs w:val="16"/>
              </w:rPr>
              <w:t>P</w:t>
            </w:r>
            <w:r w:rsidRPr="00B9459A">
              <w:rPr>
                <w:rFonts w:ascii="Avenir Heavy" w:hAnsi="Avenir Heavy"/>
                <w:b/>
                <w:sz w:val="16"/>
                <w:szCs w:val="16"/>
              </w:rPr>
              <w:t>oblació</w:t>
            </w:r>
          </w:p>
        </w:tc>
      </w:tr>
      <w:tr w:rsidR="009241B4" w:rsidRPr="00B9459A" w:rsidTr="00E562C2">
        <w:trPr>
          <w:gridAfter w:val="1"/>
          <w:wAfter w:w="32" w:type="dxa"/>
          <w:trHeight w:val="567"/>
        </w:trPr>
        <w:tc>
          <w:tcPr>
            <w:tcW w:w="5211" w:type="dxa"/>
            <w:shd w:val="clear" w:color="auto" w:fill="auto"/>
          </w:tcPr>
          <w:p w:rsidR="009241B4" w:rsidRPr="00705D80" w:rsidRDefault="009241B4" w:rsidP="00E562C2">
            <w:pPr>
              <w:rPr>
                <w:rFonts w:ascii="Avenir Heavy" w:hAnsi="Avenir Heavy"/>
                <w:b/>
                <w:bCs/>
                <w:sz w:val="16"/>
                <w:szCs w:val="16"/>
              </w:rPr>
            </w:pPr>
            <w:r>
              <w:rPr>
                <w:rFonts w:ascii="Avenir Heavy" w:hAnsi="Avenir Heavy"/>
                <w:b/>
                <w:bCs/>
                <w:sz w:val="4"/>
                <w:szCs w:val="4"/>
              </w:rPr>
              <w:br/>
            </w:r>
            <w:proofErr w:type="spellStart"/>
            <w:r w:rsidRPr="00705D80">
              <w:rPr>
                <w:rFonts w:ascii="Avenir Heavy" w:hAnsi="Avenir Heavy"/>
                <w:b/>
                <w:bCs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9241B4" w:rsidRPr="00705D80" w:rsidRDefault="009241B4" w:rsidP="00E562C2">
            <w:pPr>
              <w:tabs>
                <w:tab w:val="left" w:pos="1168"/>
              </w:tabs>
              <w:ind w:right="602"/>
              <w:rPr>
                <w:rFonts w:ascii="Avenir Heavy" w:hAnsi="Avenir Heavy"/>
                <w:b/>
                <w:sz w:val="4"/>
                <w:szCs w:val="4"/>
              </w:rPr>
            </w:pPr>
            <w:r>
              <w:rPr>
                <w:rFonts w:ascii="Avenir Heavy" w:hAnsi="Avenir Heavy"/>
                <w:b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bCs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bCs/>
                <w:sz w:val="16"/>
                <w:szCs w:val="16"/>
              </w:rPr>
              <w:t>Mòbil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9241B4" w:rsidRPr="00705D80" w:rsidRDefault="009241B4" w:rsidP="00E562C2">
            <w:pPr>
              <w:rPr>
                <w:rFonts w:ascii="Avenir Heavy" w:hAnsi="Avenir Heavy"/>
                <w:b/>
                <w:sz w:val="4"/>
                <w:szCs w:val="4"/>
              </w:rPr>
            </w:pPr>
            <w:r>
              <w:rPr>
                <w:rFonts w:ascii="Avenir Heavy" w:hAnsi="Avenir Heavy"/>
                <w:b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bCs/>
                <w:sz w:val="4"/>
                <w:szCs w:val="4"/>
              </w:rPr>
              <w:br/>
            </w:r>
            <w:r>
              <w:rPr>
                <w:rFonts w:ascii="Avenir Heavy" w:hAnsi="Avenir Heavy"/>
                <w:b/>
                <w:bCs/>
                <w:sz w:val="16"/>
                <w:szCs w:val="16"/>
              </w:rPr>
              <w:t>Fix</w:t>
            </w:r>
          </w:p>
        </w:tc>
      </w:tr>
      <w:tr w:rsidR="009241B4" w:rsidRPr="00B9459A" w:rsidTr="00E562C2">
        <w:trPr>
          <w:gridAfter w:val="1"/>
          <w:wAfter w:w="32" w:type="dxa"/>
          <w:trHeight w:hRule="exact" w:val="284"/>
        </w:trPr>
        <w:tc>
          <w:tcPr>
            <w:tcW w:w="9148" w:type="dxa"/>
            <w:gridSpan w:val="4"/>
            <w:shd w:val="clear" w:color="auto" w:fill="auto"/>
          </w:tcPr>
          <w:p w:rsidR="009241B4" w:rsidRPr="00915835" w:rsidRDefault="009241B4" w:rsidP="00E562C2">
            <w:pPr>
              <w:rPr>
                <w:rFonts w:ascii="Avenir Heavy" w:hAnsi="Avenir Heavy"/>
                <w:b/>
                <w:sz w:val="16"/>
                <w:szCs w:val="16"/>
              </w:rPr>
            </w:pPr>
          </w:p>
        </w:tc>
      </w:tr>
      <w:tr w:rsidR="009241B4" w:rsidRPr="00B9459A" w:rsidTr="00E562C2">
        <w:trPr>
          <w:gridAfter w:val="1"/>
          <w:wAfter w:w="32" w:type="dxa"/>
          <w:trHeight w:hRule="exact" w:val="227"/>
        </w:trPr>
        <w:tc>
          <w:tcPr>
            <w:tcW w:w="914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241B4" w:rsidRPr="00B9459A" w:rsidRDefault="009241B4" w:rsidP="00E562C2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20"/>
                <w:szCs w:val="20"/>
              </w:rPr>
              <w:t>Actua en representació</w:t>
            </w:r>
          </w:p>
        </w:tc>
      </w:tr>
      <w:tr w:rsidR="009241B4" w:rsidRPr="00B9459A" w:rsidTr="00E562C2">
        <w:trPr>
          <w:gridAfter w:val="1"/>
          <w:wAfter w:w="32" w:type="dxa"/>
          <w:trHeight w:val="192"/>
        </w:trPr>
        <w:tc>
          <w:tcPr>
            <w:tcW w:w="7348" w:type="dxa"/>
            <w:gridSpan w:val="3"/>
            <w:shd w:val="clear" w:color="auto" w:fill="auto"/>
            <w:vAlign w:val="center"/>
          </w:tcPr>
          <w:p w:rsidR="009241B4" w:rsidRDefault="009241B4" w:rsidP="00E562C2">
            <w:pPr>
              <w:rPr>
                <w:rFonts w:ascii="Avenir Heavy" w:hAnsi="Avenir Heavy"/>
                <w:b/>
                <w:bCs/>
                <w:sz w:val="16"/>
                <w:szCs w:val="16"/>
              </w:rPr>
            </w:pPr>
            <w:r w:rsidRPr="00F439C7">
              <w:rPr>
                <w:rFonts w:ascii="Avenir Heavy" w:hAnsi="Avenir Heavy"/>
                <w:b/>
                <w:bCs/>
                <w:sz w:val="6"/>
                <w:szCs w:val="6"/>
              </w:rPr>
              <w:br/>
            </w:r>
          </w:p>
          <w:p w:rsidR="009241B4" w:rsidRPr="00B9459A" w:rsidRDefault="009241B4" w:rsidP="00E562C2">
            <w:pPr>
              <w:rPr>
                <w:rFonts w:ascii="Avenir Heavy" w:hAnsi="Avenir Heavy"/>
                <w:b/>
                <w:bCs/>
                <w:sz w:val="16"/>
                <w:szCs w:val="16"/>
              </w:rPr>
            </w:pPr>
            <w:r>
              <w:rPr>
                <w:rFonts w:ascii="Avenir Heavy" w:hAnsi="Avenir Heavy"/>
                <w:b/>
                <w:bCs/>
                <w:sz w:val="16"/>
                <w:szCs w:val="16"/>
              </w:rPr>
              <w:t>N</w:t>
            </w:r>
            <w:r w:rsidRPr="00B9459A">
              <w:rPr>
                <w:rFonts w:ascii="Avenir Heavy" w:hAnsi="Avenir Heavy"/>
                <w:b/>
                <w:bCs/>
                <w:sz w:val="16"/>
                <w:szCs w:val="16"/>
              </w:rPr>
              <w:t>om i cognoms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1B4" w:rsidRPr="00915835" w:rsidRDefault="009241B4" w:rsidP="00E562C2">
            <w:pPr>
              <w:rPr>
                <w:rFonts w:ascii="Avenir Heavy" w:hAnsi="Avenir Heavy"/>
                <w:b/>
                <w:sz w:val="16"/>
                <w:szCs w:val="16"/>
              </w:rPr>
            </w:pPr>
            <w:r>
              <w:rPr>
                <w:rFonts w:ascii="Avenir Heavy" w:hAnsi="Avenir Heavy"/>
                <w:b/>
                <w:sz w:val="16"/>
                <w:szCs w:val="16"/>
              </w:rPr>
              <w:t>DNI</w:t>
            </w:r>
          </w:p>
        </w:tc>
      </w:tr>
      <w:tr w:rsidR="009241B4" w:rsidRPr="00B9459A" w:rsidTr="00E562C2">
        <w:trPr>
          <w:gridAfter w:val="1"/>
          <w:wAfter w:w="32" w:type="dxa"/>
          <w:trHeight w:val="244"/>
        </w:trPr>
        <w:tc>
          <w:tcPr>
            <w:tcW w:w="5211" w:type="dxa"/>
            <w:shd w:val="clear" w:color="auto" w:fill="auto"/>
            <w:vAlign w:val="center"/>
          </w:tcPr>
          <w:p w:rsidR="009241B4" w:rsidRPr="00B9459A" w:rsidRDefault="009241B4" w:rsidP="00E562C2">
            <w:pPr>
              <w:rPr>
                <w:rFonts w:ascii="Avenir Heavy" w:hAnsi="Avenir Heavy"/>
                <w:sz w:val="16"/>
                <w:szCs w:val="16"/>
              </w:rPr>
            </w:pPr>
            <w:r w:rsidRPr="00F439C7">
              <w:rPr>
                <w:rFonts w:ascii="Avenir Heavy" w:hAnsi="Avenir Heavy"/>
                <w:b/>
                <w:bCs/>
                <w:sz w:val="6"/>
                <w:szCs w:val="6"/>
              </w:rPr>
              <w:br/>
            </w:r>
            <w:r>
              <w:rPr>
                <w:rFonts w:ascii="Avenir Heavy" w:hAnsi="Avenir Heavy"/>
                <w:b/>
                <w:bCs/>
                <w:sz w:val="16"/>
                <w:szCs w:val="16"/>
              </w:rPr>
              <w:t>A</w:t>
            </w:r>
            <w:r w:rsidRPr="00B9459A">
              <w:rPr>
                <w:rFonts w:ascii="Avenir Heavy" w:hAnsi="Avenir Heavy"/>
                <w:b/>
                <w:bCs/>
                <w:sz w:val="16"/>
                <w:szCs w:val="16"/>
              </w:rPr>
              <w:t>dreça</w:t>
            </w:r>
          </w:p>
        </w:tc>
        <w:tc>
          <w:tcPr>
            <w:tcW w:w="21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1B4" w:rsidRPr="00915835" w:rsidRDefault="009241B4" w:rsidP="00E562C2">
            <w:pPr>
              <w:tabs>
                <w:tab w:val="left" w:pos="1168"/>
              </w:tabs>
              <w:ind w:left="953" w:right="602" w:hanging="953"/>
              <w:rPr>
                <w:rFonts w:ascii="Avenir Heavy" w:hAnsi="Avenir Heavy"/>
                <w:b/>
                <w:sz w:val="16"/>
                <w:szCs w:val="16"/>
              </w:rPr>
            </w:pPr>
            <w:r>
              <w:rPr>
                <w:rFonts w:ascii="Avenir Heavy" w:hAnsi="Avenir Heavy"/>
                <w:b/>
                <w:sz w:val="16"/>
                <w:szCs w:val="16"/>
              </w:rPr>
              <w:t>C</w:t>
            </w:r>
            <w:r w:rsidRPr="00915835">
              <w:rPr>
                <w:rFonts w:ascii="Avenir Heavy" w:hAnsi="Avenir Heavy"/>
                <w:b/>
                <w:sz w:val="16"/>
                <w:szCs w:val="16"/>
              </w:rPr>
              <w:t>odi postal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241B4" w:rsidRPr="00B9459A" w:rsidRDefault="009241B4" w:rsidP="00E562C2">
            <w:pPr>
              <w:rPr>
                <w:rFonts w:ascii="Avenir Heavy" w:hAnsi="Avenir Heavy"/>
                <w:b/>
                <w:sz w:val="16"/>
                <w:szCs w:val="16"/>
              </w:rPr>
            </w:pPr>
            <w:r>
              <w:rPr>
                <w:rFonts w:ascii="Avenir Heavy" w:hAnsi="Avenir Heavy"/>
                <w:b/>
                <w:sz w:val="16"/>
                <w:szCs w:val="16"/>
              </w:rPr>
              <w:t>P</w:t>
            </w:r>
            <w:r w:rsidRPr="00B9459A">
              <w:rPr>
                <w:rFonts w:ascii="Avenir Heavy" w:hAnsi="Avenir Heavy"/>
                <w:b/>
                <w:sz w:val="16"/>
                <w:szCs w:val="16"/>
              </w:rPr>
              <w:t>oblació</w:t>
            </w:r>
          </w:p>
        </w:tc>
      </w:tr>
      <w:tr w:rsidR="009241B4" w:rsidRPr="00B9459A" w:rsidTr="00E562C2">
        <w:trPr>
          <w:gridAfter w:val="1"/>
          <w:wAfter w:w="32" w:type="dxa"/>
          <w:trHeight w:val="526"/>
        </w:trPr>
        <w:tc>
          <w:tcPr>
            <w:tcW w:w="5211" w:type="dxa"/>
            <w:shd w:val="clear" w:color="auto" w:fill="auto"/>
            <w:vAlign w:val="center"/>
          </w:tcPr>
          <w:p w:rsidR="009241B4" w:rsidRPr="00B9459A" w:rsidRDefault="009241B4" w:rsidP="00E562C2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  <w:proofErr w:type="spellStart"/>
            <w:r w:rsidRPr="00B9459A">
              <w:rPr>
                <w:rFonts w:ascii="Avenir Heavy" w:hAnsi="Avenir Heavy"/>
                <w:b/>
                <w:bCs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9241B4" w:rsidRPr="00B9459A" w:rsidRDefault="009241B4" w:rsidP="00E562C2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  <w:r w:rsidRPr="00553852">
              <w:rPr>
                <w:rFonts w:ascii="Avenir Heavy" w:hAnsi="Avenir Heavy"/>
                <w:b/>
                <w:bCs/>
                <w:sz w:val="16"/>
                <w:szCs w:val="16"/>
              </w:rPr>
              <w:t>mòbil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vAlign w:val="center"/>
          </w:tcPr>
          <w:p w:rsidR="009241B4" w:rsidRDefault="009241B4" w:rsidP="00E562C2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915835">
              <w:rPr>
                <w:rFonts w:ascii="Avenir Heavy" w:hAnsi="Avenir Heavy"/>
                <w:b/>
                <w:sz w:val="16"/>
                <w:szCs w:val="16"/>
              </w:rPr>
              <w:t>Fix</w:t>
            </w:r>
          </w:p>
          <w:p w:rsidR="009241B4" w:rsidRPr="00915835" w:rsidRDefault="009241B4" w:rsidP="00E562C2">
            <w:pPr>
              <w:rPr>
                <w:rFonts w:ascii="Avenir Heavy" w:hAnsi="Avenir Heavy"/>
                <w:b/>
                <w:sz w:val="16"/>
                <w:szCs w:val="16"/>
              </w:rPr>
            </w:pPr>
          </w:p>
        </w:tc>
      </w:tr>
      <w:tr w:rsidR="009241B4" w:rsidRPr="00B9459A" w:rsidTr="00E562C2">
        <w:trPr>
          <w:gridAfter w:val="1"/>
          <w:wAfter w:w="32" w:type="dxa"/>
          <w:trHeight w:hRule="exact" w:val="227"/>
        </w:trPr>
        <w:tc>
          <w:tcPr>
            <w:tcW w:w="914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9241B4" w:rsidRPr="00B9459A" w:rsidRDefault="009241B4" w:rsidP="00E562C2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20"/>
                <w:szCs w:val="20"/>
              </w:rPr>
              <w:t>Sol·licito:</w:t>
            </w:r>
          </w:p>
        </w:tc>
      </w:tr>
      <w:tr w:rsidR="009241B4" w:rsidRPr="00B9459A" w:rsidTr="00E562C2">
        <w:trPr>
          <w:gridAfter w:val="1"/>
          <w:wAfter w:w="32" w:type="dxa"/>
          <w:trHeight w:val="227"/>
        </w:trPr>
        <w:tc>
          <w:tcPr>
            <w:tcW w:w="914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05A47" w:rsidRDefault="00FD7932" w:rsidP="00305A47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ACTIVACIÓ PROTOCOL</w:t>
            </w:r>
            <w:r w:rsidR="00305A47">
              <w:rPr>
                <w:rFonts w:cstheme="minorHAnsi"/>
                <w:bCs/>
                <w:sz w:val="20"/>
                <w:szCs w:val="20"/>
              </w:rPr>
              <w:t xml:space="preserve"> ASSETJAMENT IT</w:t>
            </w:r>
          </w:p>
          <w:p w:rsidR="009241B4" w:rsidRDefault="009241B4" w:rsidP="00E562C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Que la comissió de</w:t>
            </w:r>
            <w:bookmarkStart w:id="0" w:name="_GoBack"/>
            <w:bookmarkEnd w:id="0"/>
            <w:r>
              <w:rPr>
                <w:rFonts w:cstheme="minorHAnsi"/>
                <w:bCs/>
                <w:sz w:val="20"/>
                <w:szCs w:val="20"/>
              </w:rPr>
              <w:t xml:space="preserve"> prevenció i d’investigació d’a</w:t>
            </w:r>
            <w:r w:rsidRPr="0037775A">
              <w:rPr>
                <w:rFonts w:cstheme="minorHAnsi"/>
                <w:bCs/>
                <w:sz w:val="20"/>
                <w:szCs w:val="20"/>
              </w:rPr>
              <w:t>ssetjaments de l’</w:t>
            </w:r>
            <w:r w:rsidR="00305A47">
              <w:rPr>
                <w:rFonts w:cstheme="minorHAnsi"/>
                <w:bCs/>
                <w:sz w:val="20"/>
                <w:szCs w:val="20"/>
              </w:rPr>
              <w:t>Institut del T</w:t>
            </w:r>
            <w:r w:rsidRPr="0037775A">
              <w:rPr>
                <w:rFonts w:cstheme="minorHAnsi"/>
                <w:bCs/>
                <w:sz w:val="20"/>
                <w:szCs w:val="20"/>
              </w:rPr>
              <w:t>eatre estudiï la documentació que annexo en sobre tancat.</w:t>
            </w:r>
          </w:p>
          <w:p w:rsidR="009241B4" w:rsidRDefault="009241B4" w:rsidP="00E562C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241B4" w:rsidRPr="0037775A" w:rsidRDefault="009241B4" w:rsidP="00E562C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241B4" w:rsidRPr="00B9459A" w:rsidTr="00E562C2">
        <w:trPr>
          <w:trHeight w:hRule="exact" w:val="227"/>
        </w:trPr>
        <w:tc>
          <w:tcPr>
            <w:tcW w:w="918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9241B4" w:rsidRPr="00B9459A" w:rsidRDefault="00305A47" w:rsidP="00E562C2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20"/>
                <w:szCs w:val="20"/>
              </w:rPr>
              <w:t>D</w:t>
            </w:r>
            <w:r w:rsidR="009241B4">
              <w:rPr>
                <w:rFonts w:ascii="Avenir Heavy" w:hAnsi="Avenir Heavy"/>
                <w:b/>
                <w:bCs/>
                <w:sz w:val="20"/>
                <w:szCs w:val="20"/>
              </w:rPr>
              <w:t xml:space="preserve">ocuments que s’adjunten </w:t>
            </w:r>
          </w:p>
        </w:tc>
      </w:tr>
      <w:tr w:rsidR="009241B4" w:rsidRPr="00837300" w:rsidTr="00E562C2">
        <w:trPr>
          <w:trHeight w:val="649"/>
        </w:trPr>
        <w:tc>
          <w:tcPr>
            <w:tcW w:w="9180" w:type="dxa"/>
            <w:gridSpan w:val="5"/>
            <w:tcBorders>
              <w:top w:val="single" w:sz="8" w:space="0" w:color="000000"/>
              <w:bottom w:val="nil"/>
            </w:tcBorders>
            <w:shd w:val="clear" w:color="auto" w:fill="auto"/>
          </w:tcPr>
          <w:p w:rsidR="009241B4" w:rsidRPr="00837300" w:rsidRDefault="009241B4" w:rsidP="00E562C2">
            <w:pPr>
              <w:spacing w:after="12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</w:t>
            </w:r>
            <w:r w:rsidRPr="00837300">
              <w:rPr>
                <w:rFonts w:cstheme="minorHAnsi"/>
                <w:bCs/>
                <w:sz w:val="20"/>
                <w:szCs w:val="20"/>
              </w:rPr>
              <w:t>ls documents que s’adjunten en sobre tancat tenen caràcter confidencial i únicament po</w:t>
            </w:r>
            <w:r w:rsidR="00305A47">
              <w:rPr>
                <w:rFonts w:cstheme="minorHAnsi"/>
                <w:bCs/>
                <w:sz w:val="20"/>
                <w:szCs w:val="20"/>
              </w:rPr>
              <w:t>t tenir accés la comissió d’assetjaments de l’Institut del T</w:t>
            </w:r>
            <w:r w:rsidRPr="00837300">
              <w:rPr>
                <w:rFonts w:cstheme="minorHAnsi"/>
                <w:bCs/>
                <w:sz w:val="20"/>
                <w:szCs w:val="20"/>
              </w:rPr>
              <w:t xml:space="preserve">eatre. </w:t>
            </w:r>
          </w:p>
        </w:tc>
      </w:tr>
    </w:tbl>
    <w:p w:rsidR="009241B4" w:rsidRPr="00837300" w:rsidRDefault="009241B4" w:rsidP="009241B4">
      <w:pPr>
        <w:contextualSpacing/>
        <w:rPr>
          <w:rFonts w:ascii="Avenir Heavy" w:hAnsi="Avenir Heavy"/>
          <w:sz w:val="18"/>
          <w:szCs w:val="18"/>
        </w:rPr>
      </w:pPr>
    </w:p>
    <w:p w:rsidR="009241B4" w:rsidRPr="00837300" w:rsidRDefault="009241B4" w:rsidP="009241B4">
      <w:pPr>
        <w:contextualSpacing/>
        <w:rPr>
          <w:rFonts w:ascii="Avenir Heavy" w:hAnsi="Avenir Heavy"/>
          <w:sz w:val="18"/>
          <w:szCs w:val="18"/>
        </w:rPr>
      </w:pPr>
    </w:p>
    <w:p w:rsidR="009241B4" w:rsidRDefault="009241B4" w:rsidP="009241B4">
      <w:pPr>
        <w:rPr>
          <w:rFonts w:ascii="Avenir Heavy" w:hAnsi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br w:type="page"/>
      </w:r>
    </w:p>
    <w:p w:rsidR="009241B4" w:rsidRPr="00837300" w:rsidRDefault="009241B4" w:rsidP="009241B4">
      <w:pPr>
        <w:contextualSpacing/>
        <w:rPr>
          <w:rFonts w:ascii="Avenir Heavy" w:hAnsi="Avenir Heavy"/>
          <w:sz w:val="18"/>
          <w:szCs w:val="18"/>
        </w:rPr>
      </w:pPr>
    </w:p>
    <w:p w:rsidR="009241B4" w:rsidRPr="00380E2D" w:rsidRDefault="009241B4" w:rsidP="009241B4">
      <w:pPr>
        <w:contextualSpacing/>
        <w:rPr>
          <w:rFonts w:ascii="Avenir Heavy" w:hAnsi="Avenir Heavy"/>
          <w:b/>
          <w:bCs/>
          <w:sz w:val="20"/>
          <w:szCs w:val="20"/>
        </w:rPr>
      </w:pPr>
      <w:r w:rsidRPr="00380E2D">
        <w:rPr>
          <w:rFonts w:ascii="Avenir Heavy" w:hAnsi="Avenir Heavy"/>
          <w:b/>
          <w:bCs/>
          <w:sz w:val="20"/>
          <w:szCs w:val="20"/>
        </w:rPr>
        <w:t>Informació sobre protecció de dades de caràcter personal:</w:t>
      </w:r>
    </w:p>
    <w:p w:rsidR="009241B4" w:rsidRPr="00837300" w:rsidRDefault="009241B4" w:rsidP="009241B4">
      <w:pPr>
        <w:contextualSpacing/>
        <w:rPr>
          <w:rFonts w:ascii="Avenir Heavy" w:hAnsi="Avenir Heavy"/>
          <w:b/>
          <w:sz w:val="18"/>
          <w:szCs w:val="18"/>
        </w:rPr>
      </w:pPr>
    </w:p>
    <w:tbl>
      <w:tblPr>
        <w:tblStyle w:val="Tablaconcuadrcula"/>
        <w:tblW w:w="89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223"/>
      </w:tblGrid>
      <w:tr w:rsidR="009241B4" w:rsidRPr="00837300" w:rsidTr="00E562C2">
        <w:trPr>
          <w:trHeight w:val="5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b/>
                <w:sz w:val="18"/>
                <w:szCs w:val="18"/>
              </w:rPr>
            </w:pPr>
            <w:r w:rsidRPr="00837300">
              <w:rPr>
                <w:rFonts w:ascii="Avenir Heavy" w:hAnsi="Avenir Heavy"/>
                <w:b/>
                <w:sz w:val="18"/>
                <w:szCs w:val="18"/>
              </w:rPr>
              <w:t>Responsable del tractament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  <w:r w:rsidRPr="00837300">
              <w:rPr>
                <w:rFonts w:ascii="Avenir Heavy" w:hAnsi="Avenir Heavy"/>
                <w:sz w:val="18"/>
                <w:szCs w:val="18"/>
              </w:rPr>
              <w:t>Diputació de Barcelona</w:t>
            </w:r>
          </w:p>
          <w:p w:rsidR="009241B4" w:rsidRPr="00837300" w:rsidRDefault="009241B4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  <w:r w:rsidRPr="00837300">
              <w:rPr>
                <w:rFonts w:ascii="Avenir Heavy" w:hAnsi="Avenir Heavy"/>
                <w:sz w:val="18"/>
                <w:szCs w:val="18"/>
              </w:rPr>
              <w:t>Rambla Catalunya 126, 08008-Barcelona</w:t>
            </w:r>
          </w:p>
        </w:tc>
      </w:tr>
      <w:tr w:rsidR="009241B4" w:rsidRPr="00837300" w:rsidTr="00E562C2">
        <w:trPr>
          <w:trHeight w:val="5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b/>
                <w:sz w:val="18"/>
                <w:szCs w:val="18"/>
                <w:lang w:val="es-E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  <w:r w:rsidRPr="00837300">
              <w:rPr>
                <w:rFonts w:ascii="Avenir Heavy" w:hAnsi="Avenir Heavy"/>
                <w:sz w:val="18"/>
                <w:szCs w:val="18"/>
              </w:rPr>
              <w:t xml:space="preserve">Dades de contacte de la Delegada de protecció de dades per a consultes, queixes, exercicis de drets, i comentaris relacionats amb la protecció de dades: </w:t>
            </w:r>
            <w:hyperlink r:id="rId7" w:history="1">
              <w:r w:rsidRPr="00837300">
                <w:rPr>
                  <w:rStyle w:val="Hipervnculo"/>
                  <w:rFonts w:ascii="Avenir Heavy" w:hAnsi="Avenir Heavy"/>
                  <w:sz w:val="18"/>
                  <w:szCs w:val="18"/>
                </w:rPr>
                <w:t>dpd@diba.cat</w:t>
              </w:r>
            </w:hyperlink>
          </w:p>
        </w:tc>
      </w:tr>
      <w:tr w:rsidR="009241B4" w:rsidRPr="00837300" w:rsidTr="00E562C2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b/>
                <w:sz w:val="18"/>
                <w:szCs w:val="18"/>
              </w:rPr>
            </w:pPr>
            <w:r w:rsidRPr="00837300">
              <w:rPr>
                <w:rFonts w:ascii="Avenir Heavy" w:hAnsi="Avenir Heavy"/>
                <w:b/>
                <w:sz w:val="18"/>
                <w:szCs w:val="18"/>
              </w:rPr>
              <w:t>Finalitat del tractament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  <w:r w:rsidRPr="00837300">
              <w:rPr>
                <w:rFonts w:ascii="Avenir Heavy" w:hAnsi="Avenir Heavy"/>
                <w:sz w:val="18"/>
                <w:szCs w:val="18"/>
              </w:rPr>
              <w:t>Activació del protocol per a la prevenció, detecció i actuació de l’assetjament sexual en l’àmbit de l’alumnat de l’Institut del Teatre.</w:t>
            </w:r>
          </w:p>
        </w:tc>
      </w:tr>
      <w:tr w:rsidR="009241B4" w:rsidRPr="00F84CD1" w:rsidTr="00E562C2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b/>
                <w:sz w:val="18"/>
                <w:szCs w:val="18"/>
              </w:rPr>
            </w:pPr>
            <w:r w:rsidRPr="00837300">
              <w:rPr>
                <w:rFonts w:ascii="Avenir Heavy" w:hAnsi="Avenir Heavy"/>
                <w:b/>
                <w:sz w:val="18"/>
                <w:szCs w:val="18"/>
              </w:rPr>
              <w:t>Temps de conservació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  <w:r w:rsidRPr="00837300">
              <w:rPr>
                <w:rFonts w:ascii="Avenir Heavy" w:hAnsi="Avenir Heavy"/>
                <w:sz w:val="18"/>
                <w:szCs w:val="18"/>
              </w:rPr>
              <w:t>Les dades seran conservades durant el temps previst a la normativa de procediment administratiu, de gènere, de menors i d’arxiu històric.</w:t>
            </w:r>
          </w:p>
        </w:tc>
      </w:tr>
      <w:tr w:rsidR="009241B4" w:rsidRPr="00F84CD1" w:rsidTr="00E562C2">
        <w:trPr>
          <w:trHeight w:val="8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b/>
                <w:sz w:val="18"/>
                <w:szCs w:val="18"/>
              </w:rPr>
            </w:pPr>
            <w:r w:rsidRPr="00837300">
              <w:rPr>
                <w:rFonts w:ascii="Avenir Heavy" w:hAnsi="Avenir Heavy"/>
                <w:b/>
                <w:sz w:val="18"/>
                <w:szCs w:val="18"/>
              </w:rPr>
              <w:t>Legitimació del tractament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  <w:r w:rsidRPr="00837300">
              <w:rPr>
                <w:rFonts w:ascii="Avenir Heavy" w:hAnsi="Avenir Heavy"/>
                <w:sz w:val="18"/>
                <w:szCs w:val="18"/>
              </w:rPr>
              <w:t xml:space="preserve">El compliment d’una obligació legal aplicable al responsable del tractament. </w:t>
            </w:r>
          </w:p>
          <w:p w:rsidR="009241B4" w:rsidRPr="00837300" w:rsidRDefault="009241B4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  <w:r w:rsidRPr="00837300">
              <w:rPr>
                <w:rFonts w:ascii="Avenir Heavy" w:hAnsi="Avenir Heavy"/>
                <w:sz w:val="18"/>
                <w:szCs w:val="18"/>
              </w:rPr>
              <w:t>La protecció d’interessos vitals de la persona afectada o d’una altra persona física.</w:t>
            </w:r>
          </w:p>
        </w:tc>
      </w:tr>
      <w:tr w:rsidR="009241B4" w:rsidRPr="00F84CD1" w:rsidTr="00E562C2">
        <w:trPr>
          <w:trHeight w:val="8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b/>
                <w:sz w:val="18"/>
                <w:szCs w:val="18"/>
              </w:rPr>
            </w:pPr>
            <w:r w:rsidRPr="00837300">
              <w:rPr>
                <w:rFonts w:ascii="Avenir Heavy" w:hAnsi="Avenir Heavy"/>
                <w:b/>
                <w:sz w:val="18"/>
                <w:szCs w:val="18"/>
              </w:rPr>
              <w:t>Destinataris de cessions o transferències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  <w:r w:rsidRPr="00837300">
              <w:rPr>
                <w:rFonts w:ascii="Avenir Heavy" w:hAnsi="Avenir Heavy"/>
                <w:sz w:val="18"/>
                <w:szCs w:val="18"/>
              </w:rPr>
              <w:t>No s’han previst cessions més enllà de les previstes per la llei.</w:t>
            </w:r>
          </w:p>
          <w:p w:rsidR="009241B4" w:rsidRPr="00837300" w:rsidRDefault="009241B4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  <w:r w:rsidRPr="00837300">
              <w:rPr>
                <w:rFonts w:ascii="Avenir Heavy" w:hAnsi="Avenir Heavy"/>
                <w:sz w:val="18"/>
                <w:szCs w:val="18"/>
              </w:rPr>
              <w:t>No s’ha previst cap transferència internacional de dades de les dades subministrades.</w:t>
            </w:r>
          </w:p>
        </w:tc>
      </w:tr>
      <w:tr w:rsidR="009241B4" w:rsidRPr="00F84CD1" w:rsidTr="00E562C2">
        <w:trPr>
          <w:trHeight w:val="12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b/>
                <w:sz w:val="18"/>
                <w:szCs w:val="18"/>
              </w:rPr>
            </w:pPr>
            <w:r w:rsidRPr="00837300">
              <w:rPr>
                <w:rFonts w:ascii="Avenir Heavy" w:hAnsi="Avenir Heavy"/>
                <w:b/>
                <w:sz w:val="18"/>
                <w:szCs w:val="18"/>
              </w:rPr>
              <w:t>Drets de les persones interessades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  <w:r w:rsidRPr="00837300">
              <w:rPr>
                <w:rFonts w:ascii="Avenir Heavy" w:hAnsi="Avenir Heavy"/>
                <w:sz w:val="18"/>
                <w:szCs w:val="18"/>
              </w:rPr>
              <w:t>Es poden exercir els drets d’accés, rectificació, supressió i portabilitat de les seves dades, i la limitació o oposició al seu tractament a través de la Seu electrònica:</w:t>
            </w:r>
          </w:p>
          <w:p w:rsidR="009241B4" w:rsidRPr="00837300" w:rsidRDefault="00FD7932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  <w:hyperlink r:id="rId8" w:history="1">
              <w:r w:rsidR="009241B4" w:rsidRPr="00837300">
                <w:rPr>
                  <w:rStyle w:val="Hipervnculo"/>
                  <w:rFonts w:ascii="Avenir Heavy" w:hAnsi="Avenir Heavy"/>
                  <w:sz w:val="18"/>
                  <w:szCs w:val="18"/>
                </w:rPr>
                <w:t>https://seuelectronica.diba.cat/serveis-de-la-seu/proteccio-dades/default.asp</w:t>
              </w:r>
            </w:hyperlink>
            <w:r w:rsidR="009241B4" w:rsidRPr="00837300">
              <w:rPr>
                <w:rFonts w:ascii="Avenir Heavy" w:hAnsi="Avenir Heavy"/>
                <w:sz w:val="18"/>
                <w:szCs w:val="18"/>
              </w:rPr>
              <w:t xml:space="preserve"> </w:t>
            </w:r>
          </w:p>
          <w:p w:rsidR="009241B4" w:rsidRPr="00837300" w:rsidRDefault="009241B4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  <w:r w:rsidRPr="00837300">
              <w:rPr>
                <w:rFonts w:ascii="Avenir Heavy" w:hAnsi="Avenir Heavy"/>
                <w:sz w:val="18"/>
                <w:szCs w:val="18"/>
              </w:rPr>
              <w:t>O presencialment a les oficines del Registre: https://www.diba.cat/web/registre/</w:t>
            </w:r>
          </w:p>
        </w:tc>
      </w:tr>
      <w:tr w:rsidR="009241B4" w:rsidRPr="00F84CD1" w:rsidTr="00E562C2">
        <w:trPr>
          <w:trHeight w:val="181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b/>
                <w:sz w:val="18"/>
                <w:szCs w:val="18"/>
                <w:lang w:val="es-E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B4" w:rsidRPr="00837300" w:rsidRDefault="009241B4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  <w:r w:rsidRPr="00837300">
              <w:rPr>
                <w:rFonts w:ascii="Avenir Heavy" w:hAnsi="Avenir Heavy"/>
                <w:sz w:val="18"/>
                <w:szCs w:val="18"/>
              </w:rPr>
              <w:t xml:space="preserve">Sense perjudici de qualsevol altre recurs administratiu o acció judicial, tot interessat tindrà dret a presentar una reclamació davant d'una autoritat de control, en particular en l'Estat membre en què tingui la seva residència habitual, lloc de treball o lloc de la suposada infracció, si considera que el tractament de dades personals que el concerneixen infringeix el RGPD. </w:t>
            </w:r>
          </w:p>
          <w:p w:rsidR="009241B4" w:rsidRPr="00837300" w:rsidRDefault="009241B4" w:rsidP="00E562C2">
            <w:pPr>
              <w:contextualSpacing/>
              <w:rPr>
                <w:rFonts w:ascii="Avenir Heavy" w:hAnsi="Avenir Heavy"/>
                <w:sz w:val="18"/>
                <w:szCs w:val="18"/>
              </w:rPr>
            </w:pPr>
            <w:r w:rsidRPr="00837300">
              <w:rPr>
                <w:rFonts w:ascii="Avenir Heavy" w:hAnsi="Avenir Heavy"/>
                <w:sz w:val="18"/>
                <w:szCs w:val="18"/>
              </w:rPr>
              <w:t>Sent a Catalunya l’APDCAT l’autoritat de referència: http://apdcat.gencat.cat/ca/drets_i_obligacions/reclamar_i_denunciar/</w:t>
            </w:r>
          </w:p>
        </w:tc>
      </w:tr>
    </w:tbl>
    <w:p w:rsidR="009241B4" w:rsidRDefault="009241B4" w:rsidP="009241B4">
      <w:pPr>
        <w:contextualSpacing/>
        <w:rPr>
          <w:rFonts w:ascii="Avenir Heavy" w:hAnsi="Avenir Heavy"/>
          <w:sz w:val="18"/>
          <w:szCs w:val="18"/>
        </w:rPr>
      </w:pPr>
    </w:p>
    <w:p w:rsidR="009241B4" w:rsidRDefault="009241B4" w:rsidP="009241B4">
      <w:pPr>
        <w:rPr>
          <w:rFonts w:ascii="Avenir Heavy" w:hAnsi="Avenir Heavy"/>
          <w:sz w:val="18"/>
          <w:szCs w:val="18"/>
        </w:rPr>
      </w:pPr>
    </w:p>
    <w:p w:rsidR="009241B4" w:rsidRDefault="009241B4" w:rsidP="009241B4">
      <w:pPr>
        <w:tabs>
          <w:tab w:val="left" w:pos="5445"/>
        </w:tabs>
        <w:rPr>
          <w:rFonts w:ascii="Avenir Heavy" w:hAnsi="Avenir Heavy"/>
          <w:sz w:val="18"/>
          <w:szCs w:val="18"/>
        </w:rPr>
      </w:pPr>
    </w:p>
    <w:p w:rsidR="009241B4" w:rsidRPr="004313BF" w:rsidRDefault="009241B4" w:rsidP="009241B4">
      <w:pPr>
        <w:tabs>
          <w:tab w:val="left" w:pos="5445"/>
        </w:tabs>
        <w:rPr>
          <w:rFonts w:ascii="Avenir Heavy" w:hAnsi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ab/>
      </w:r>
    </w:p>
    <w:p w:rsidR="009241B4" w:rsidRPr="00A413B5" w:rsidRDefault="009241B4" w:rsidP="009241B4">
      <w:pPr>
        <w:rPr>
          <w:rFonts w:ascii="Avenir Heavy" w:hAnsi="Avenir Heavy"/>
          <w:sz w:val="18"/>
          <w:szCs w:val="18"/>
        </w:rPr>
      </w:pPr>
      <w:r w:rsidRPr="00A413B5">
        <w:rPr>
          <w:rFonts w:ascii="Avenir Heavy" w:hAnsi="Avenir Heavy"/>
          <w:sz w:val="18"/>
          <w:szCs w:val="18"/>
        </w:rPr>
        <w:t>Barcelona,         de             de 20</w:t>
      </w:r>
    </w:p>
    <w:tbl>
      <w:tblPr>
        <w:tblpPr w:leftFromText="141" w:rightFromText="141" w:vertAnchor="text" w:horzAnchor="page" w:tblpX="7249" w:tblpY="-123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9241B4" w:rsidRPr="00B9459A" w:rsidTr="00E562C2">
        <w:trPr>
          <w:trHeight w:val="54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1B4" w:rsidRPr="00EA6DB9" w:rsidRDefault="009241B4" w:rsidP="00E562C2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9241B4" w:rsidRDefault="009241B4" w:rsidP="00E562C2">
            <w:pPr>
              <w:jc w:val="both"/>
              <w:rPr>
                <w:rFonts w:ascii="Arial Narrow" w:hAnsi="Arial Narrow" w:cs="Arial"/>
                <w:b/>
                <w:bCs/>
                <w:color w:val="808080"/>
                <w:sz w:val="16"/>
                <w:szCs w:val="16"/>
              </w:rPr>
            </w:pPr>
            <w:r w:rsidRPr="00AD08C3">
              <w:rPr>
                <w:rFonts w:ascii="Arial Narrow" w:hAnsi="Arial Narrow" w:cs="Arial"/>
                <w:b/>
                <w:bCs/>
                <w:color w:val="808080"/>
                <w:sz w:val="16"/>
                <w:szCs w:val="16"/>
              </w:rPr>
              <w:t>Si l’empleneu a mà, feu-ho amb lletra ben clara.</w:t>
            </w:r>
          </w:p>
          <w:p w:rsidR="009241B4" w:rsidRPr="00AD08C3" w:rsidRDefault="009241B4" w:rsidP="00E562C2">
            <w:pPr>
              <w:jc w:val="both"/>
              <w:rPr>
                <w:rFonts w:ascii="Arial Narrow" w:hAnsi="Arial Narrow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6"/>
                <w:szCs w:val="16"/>
              </w:rPr>
              <w:t>Presenteu-la al Registre de l’Institut del Teatre</w:t>
            </w:r>
          </w:p>
          <w:p w:rsidR="009241B4" w:rsidRPr="00AD08C3" w:rsidRDefault="009241B4" w:rsidP="00E562C2">
            <w:pPr>
              <w:jc w:val="both"/>
              <w:rPr>
                <w:rFonts w:ascii="Arial Narrow" w:hAnsi="Arial Narrow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  <w:p w:rsidR="009241B4" w:rsidRPr="00EA6DB9" w:rsidRDefault="009241B4" w:rsidP="00E562C2">
            <w:pPr>
              <w:jc w:val="both"/>
              <w:rPr>
                <w:rFonts w:ascii="Arial Narrow" w:hAnsi="Arial Narrow" w:cs="Arial"/>
                <w:color w:val="808080"/>
                <w:sz w:val="12"/>
                <w:szCs w:val="12"/>
              </w:rPr>
            </w:pPr>
          </w:p>
          <w:p w:rsidR="009241B4" w:rsidRPr="00EA6DB9" w:rsidRDefault="009241B4" w:rsidP="00E562C2">
            <w:pPr>
              <w:jc w:val="both"/>
              <w:rPr>
                <w:rFonts w:ascii="Arial Narrow" w:hAnsi="Arial Narrow" w:cs="Arial"/>
                <w:color w:val="808080"/>
                <w:sz w:val="12"/>
                <w:szCs w:val="12"/>
              </w:rPr>
            </w:pPr>
          </w:p>
          <w:p w:rsidR="009241B4" w:rsidRPr="00B9459A" w:rsidRDefault="009241B4" w:rsidP="00E562C2">
            <w:pPr>
              <w:rPr>
                <w:i/>
                <w:iCs/>
                <w:sz w:val="12"/>
                <w:szCs w:val="12"/>
              </w:rPr>
            </w:pPr>
          </w:p>
          <w:p w:rsidR="009241B4" w:rsidRPr="00B9459A" w:rsidRDefault="009241B4" w:rsidP="00E562C2">
            <w:pPr>
              <w:rPr>
                <w:sz w:val="12"/>
                <w:szCs w:val="12"/>
              </w:rPr>
            </w:pPr>
          </w:p>
        </w:tc>
      </w:tr>
    </w:tbl>
    <w:p w:rsidR="009241B4" w:rsidRPr="00B9459A" w:rsidRDefault="009241B4" w:rsidP="009241B4">
      <w:pPr>
        <w:rPr>
          <w:rFonts w:ascii="Avenir Heavy" w:hAnsi="Avenir Heavy"/>
          <w:i/>
          <w:color w:val="808080"/>
          <w:sz w:val="18"/>
          <w:szCs w:val="18"/>
        </w:rPr>
      </w:pPr>
    </w:p>
    <w:p w:rsidR="009241B4" w:rsidRPr="00380E2D" w:rsidRDefault="009241B4" w:rsidP="009241B4">
      <w:pPr>
        <w:rPr>
          <w:rFonts w:ascii="Avenir Heavy" w:hAnsi="Avenir Heavy"/>
          <w:i/>
          <w:color w:val="808080"/>
          <w:sz w:val="18"/>
          <w:szCs w:val="18"/>
        </w:rPr>
      </w:pPr>
      <w:r w:rsidRPr="00B9459A">
        <w:rPr>
          <w:rFonts w:ascii="Avenir Heavy" w:hAnsi="Avenir Heavy"/>
          <w:i/>
          <w:color w:val="808080"/>
          <w:sz w:val="18"/>
          <w:szCs w:val="18"/>
        </w:rPr>
        <w:t xml:space="preserve"> (Signatura)</w:t>
      </w:r>
    </w:p>
    <w:p w:rsidR="009241B4" w:rsidRDefault="009241B4" w:rsidP="009241B4">
      <w:pPr>
        <w:rPr>
          <w:rFonts w:ascii="Avenir Heavy" w:hAnsi="Avenir Heavy"/>
          <w:sz w:val="8"/>
          <w:szCs w:val="8"/>
        </w:rPr>
      </w:pPr>
    </w:p>
    <w:p w:rsidR="009241B4" w:rsidRDefault="009241B4" w:rsidP="009241B4">
      <w:pPr>
        <w:rPr>
          <w:rFonts w:ascii="Avenir Heavy" w:hAnsi="Avenir Heavy"/>
          <w:sz w:val="8"/>
          <w:szCs w:val="8"/>
        </w:rPr>
      </w:pPr>
    </w:p>
    <w:p w:rsidR="009241B4" w:rsidRDefault="009241B4" w:rsidP="009241B4">
      <w:pPr>
        <w:rPr>
          <w:rFonts w:ascii="Avenir Heavy" w:hAnsi="Avenir Heavy"/>
          <w:color w:val="FF0000"/>
          <w:sz w:val="20"/>
          <w:szCs w:val="20"/>
        </w:rPr>
      </w:pPr>
    </w:p>
    <w:p w:rsidR="009241B4" w:rsidRDefault="009241B4" w:rsidP="009241B4">
      <w:pPr>
        <w:rPr>
          <w:rFonts w:ascii="Avenir Heavy" w:hAnsi="Avenir Heavy"/>
          <w:color w:val="FF0000"/>
          <w:sz w:val="20"/>
          <w:szCs w:val="20"/>
        </w:rPr>
      </w:pPr>
    </w:p>
    <w:p w:rsidR="009241B4" w:rsidRPr="00B6402D" w:rsidRDefault="009241B4" w:rsidP="009241B4">
      <w:pPr>
        <w:rPr>
          <w:rFonts w:ascii="Avenir Heavy" w:hAnsi="Avenir Heavy"/>
          <w:sz w:val="20"/>
          <w:szCs w:val="20"/>
        </w:rPr>
      </w:pPr>
    </w:p>
    <w:p w:rsidR="009241B4" w:rsidRDefault="009241B4" w:rsidP="009241B4">
      <w:pPr>
        <w:rPr>
          <w:rFonts w:ascii="Arial" w:eastAsia="Times New Roman" w:hAnsi="Arial" w:cs="Arial"/>
          <w:b/>
          <w:i/>
          <w:color w:val="C00000"/>
          <w:sz w:val="20"/>
          <w:szCs w:val="20"/>
          <w:lang w:eastAsia="es-ES"/>
        </w:rPr>
      </w:pPr>
      <w:r w:rsidRPr="00B6402D">
        <w:rPr>
          <w:rFonts w:ascii="Avenir Heavy" w:hAnsi="Avenir Heavy"/>
          <w:sz w:val="20"/>
          <w:szCs w:val="20"/>
        </w:rPr>
        <w:t>SECRETARIA DE LA COMISSIÓ DE PREVENCIÓ I INVESTIGACIÓ D’ASSATJAMENTS DE L’INSTITUT DEL TEATRE</w:t>
      </w:r>
      <w:r w:rsidRPr="00B6402D">
        <w:rPr>
          <w:rFonts w:ascii="Arial" w:eastAsia="Times New Roman" w:hAnsi="Arial" w:cs="Arial"/>
          <w:b/>
          <w:i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i/>
          <w:color w:val="C00000"/>
          <w:sz w:val="20"/>
          <w:szCs w:val="20"/>
          <w:lang w:eastAsia="es-ES"/>
        </w:rPr>
        <w:br w:type="page"/>
      </w:r>
    </w:p>
    <w:sectPr w:rsidR="00924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6509"/>
    <w:multiLevelType w:val="hybridMultilevel"/>
    <w:tmpl w:val="7D9E9FE2"/>
    <w:lvl w:ilvl="0" w:tplc="1442A67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B4"/>
    <w:rsid w:val="00305A47"/>
    <w:rsid w:val="0052317A"/>
    <w:rsid w:val="009241B4"/>
    <w:rsid w:val="00BC54CD"/>
    <w:rsid w:val="00D21DA7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B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41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41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2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1B4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B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41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41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2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1B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electronica.diba.cat/serveis-de-la-seu/proteccio-dades/default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d@dib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DOMÍNGUEZ RUBIO, Josep A.</dc:creator>
  <cp:lastModifiedBy>CONANGLA MAYOR, Eulàlia</cp:lastModifiedBy>
  <cp:revision>5</cp:revision>
  <dcterms:created xsi:type="dcterms:W3CDTF">2021-02-24T17:24:00Z</dcterms:created>
  <dcterms:modified xsi:type="dcterms:W3CDTF">2021-02-24T17:42:00Z</dcterms:modified>
</cp:coreProperties>
</file>